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1018" w14:textId="77777777" w:rsidR="00754898" w:rsidRPr="00873B82" w:rsidRDefault="000A6F3F">
      <w:pPr>
        <w:rPr>
          <w:rFonts w:ascii="Arial" w:hAnsi="Arial" w:cs="Arial"/>
          <w:sz w:val="20"/>
          <w:szCs w:val="20"/>
          <w:u w:val="single"/>
        </w:rPr>
      </w:pPr>
      <w:r w:rsidRPr="00873B82">
        <w:rPr>
          <w:rFonts w:ascii="Arial" w:hAnsi="Arial" w:cs="Arial"/>
          <w:sz w:val="20"/>
          <w:szCs w:val="20"/>
          <w:u w:val="single"/>
        </w:rPr>
        <w:t>FAQs on Goods and Service Tax (‘GST’)</w:t>
      </w:r>
    </w:p>
    <w:p w14:paraId="2ABC3E5D" w14:textId="77777777" w:rsidR="000A6F3F" w:rsidRPr="00873B82" w:rsidRDefault="000A6F3F">
      <w:pPr>
        <w:rPr>
          <w:rFonts w:ascii="Arial" w:hAnsi="Arial" w:cs="Arial"/>
          <w:sz w:val="20"/>
          <w:szCs w:val="20"/>
        </w:rPr>
      </w:pPr>
    </w:p>
    <w:p w14:paraId="12B140DE" w14:textId="3E0D3C6A" w:rsidR="000A6F3F" w:rsidRPr="00873B82" w:rsidRDefault="00426426" w:rsidP="000A6F3F">
      <w:pPr>
        <w:pStyle w:val="ListParagraph"/>
        <w:numPr>
          <w:ilvl w:val="0"/>
          <w:numId w:val="1"/>
        </w:numPr>
        <w:ind w:left="284"/>
        <w:rPr>
          <w:rFonts w:ascii="Arial" w:hAnsi="Arial" w:cs="Arial"/>
          <w:sz w:val="20"/>
          <w:szCs w:val="20"/>
        </w:rPr>
      </w:pPr>
      <w:r w:rsidRPr="00873B82">
        <w:rPr>
          <w:rFonts w:ascii="Arial" w:hAnsi="Arial" w:cs="Arial"/>
          <w:sz w:val="20"/>
          <w:szCs w:val="20"/>
        </w:rPr>
        <w:t xml:space="preserve">What is GST? </w:t>
      </w:r>
    </w:p>
    <w:p w14:paraId="35123846" w14:textId="77777777" w:rsidR="00426426" w:rsidRPr="00873B82" w:rsidRDefault="00426426" w:rsidP="00426426">
      <w:pPr>
        <w:pStyle w:val="ListParagraph"/>
        <w:ind w:left="284"/>
        <w:rPr>
          <w:rFonts w:ascii="Arial" w:hAnsi="Arial" w:cs="Arial"/>
          <w:sz w:val="20"/>
          <w:szCs w:val="20"/>
        </w:rPr>
      </w:pPr>
    </w:p>
    <w:p w14:paraId="1705B50A" w14:textId="795C3A47" w:rsidR="00426426" w:rsidRDefault="00601C11" w:rsidP="00601C11">
      <w:pPr>
        <w:pStyle w:val="ListParagraph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GST is Goods and Service Tax leviable on supply of goods and services</w:t>
      </w:r>
      <w:r w:rsidR="00BB306C">
        <w:rPr>
          <w:rFonts w:ascii="Arial" w:hAnsi="Arial" w:cs="Arial"/>
          <w:sz w:val="20"/>
          <w:szCs w:val="20"/>
        </w:rPr>
        <w:t xml:space="preserve"> from July 1, 2017</w:t>
      </w:r>
      <w:r>
        <w:rPr>
          <w:rFonts w:ascii="Arial" w:hAnsi="Arial" w:cs="Arial"/>
          <w:sz w:val="20"/>
          <w:szCs w:val="20"/>
        </w:rPr>
        <w:t>. GST has replaced indirect taxes like VAT, custom duty etc. It is uniform indirect tax applicable across the nation.</w:t>
      </w:r>
    </w:p>
    <w:p w14:paraId="125200A4" w14:textId="6EEF41F5" w:rsidR="00601C11" w:rsidRDefault="00601C11" w:rsidP="00601C11">
      <w:pPr>
        <w:pStyle w:val="ListParagraph"/>
        <w:ind w:left="284"/>
        <w:jc w:val="both"/>
        <w:rPr>
          <w:rFonts w:ascii="Arial" w:hAnsi="Arial" w:cs="Arial"/>
          <w:sz w:val="20"/>
          <w:szCs w:val="20"/>
        </w:rPr>
      </w:pPr>
    </w:p>
    <w:p w14:paraId="19E001E1" w14:textId="3D2D8697" w:rsidR="00EF6F12" w:rsidRPr="00873B82" w:rsidRDefault="00EF6F12" w:rsidP="00426426">
      <w:pPr>
        <w:pStyle w:val="ListParagraph"/>
        <w:numPr>
          <w:ilvl w:val="0"/>
          <w:numId w:val="1"/>
        </w:numPr>
        <w:ind w:left="284"/>
        <w:rPr>
          <w:rFonts w:ascii="Arial" w:hAnsi="Arial" w:cs="Arial"/>
          <w:sz w:val="20"/>
          <w:szCs w:val="20"/>
        </w:rPr>
      </w:pPr>
      <w:r w:rsidRPr="00873B82">
        <w:rPr>
          <w:rFonts w:ascii="Arial" w:hAnsi="Arial" w:cs="Arial"/>
          <w:sz w:val="20"/>
          <w:szCs w:val="20"/>
        </w:rPr>
        <w:t>What type of GST</w:t>
      </w:r>
      <w:r w:rsidR="00BB306C">
        <w:rPr>
          <w:rFonts w:ascii="Arial" w:hAnsi="Arial" w:cs="Arial"/>
          <w:sz w:val="20"/>
          <w:szCs w:val="20"/>
        </w:rPr>
        <w:t xml:space="preserve"> is levied on the transaction within states and outside state</w:t>
      </w:r>
      <w:r w:rsidRPr="00873B82">
        <w:rPr>
          <w:rFonts w:ascii="Arial" w:hAnsi="Arial" w:cs="Arial"/>
          <w:sz w:val="20"/>
          <w:szCs w:val="20"/>
        </w:rPr>
        <w:t>?</w:t>
      </w:r>
    </w:p>
    <w:p w14:paraId="41B4DC25" w14:textId="77777777" w:rsidR="00EF6F12" w:rsidRPr="00873B82" w:rsidRDefault="00EF6F12" w:rsidP="00EF6F12">
      <w:pPr>
        <w:pStyle w:val="ListParagraph"/>
        <w:ind w:left="284"/>
        <w:rPr>
          <w:rFonts w:ascii="Arial" w:hAnsi="Arial" w:cs="Arial"/>
          <w:sz w:val="20"/>
          <w:szCs w:val="20"/>
        </w:rPr>
      </w:pPr>
    </w:p>
    <w:p w14:paraId="63016FA8" w14:textId="3E89E66E" w:rsidR="00BB306C" w:rsidRDefault="00EF6F12" w:rsidP="00EF6F12">
      <w:pPr>
        <w:pStyle w:val="ListParagraph"/>
        <w:ind w:left="284"/>
        <w:rPr>
          <w:rFonts w:ascii="Arial" w:hAnsi="Arial" w:cs="Arial"/>
          <w:sz w:val="20"/>
          <w:szCs w:val="20"/>
        </w:rPr>
      </w:pPr>
      <w:r w:rsidRPr="00873B82">
        <w:rPr>
          <w:rFonts w:ascii="Arial" w:hAnsi="Arial" w:cs="Arial"/>
          <w:sz w:val="20"/>
          <w:szCs w:val="20"/>
        </w:rPr>
        <w:t>Central GST</w:t>
      </w:r>
      <w:r w:rsidR="00BB306C">
        <w:rPr>
          <w:rFonts w:ascii="Arial" w:hAnsi="Arial" w:cs="Arial"/>
          <w:sz w:val="20"/>
          <w:szCs w:val="20"/>
        </w:rPr>
        <w:t>,</w:t>
      </w:r>
      <w:r w:rsidRPr="00873B82">
        <w:rPr>
          <w:rFonts w:ascii="Arial" w:hAnsi="Arial" w:cs="Arial"/>
          <w:sz w:val="20"/>
          <w:szCs w:val="20"/>
        </w:rPr>
        <w:t xml:space="preserve"> (CGST) and States/ Union territory </w:t>
      </w:r>
      <w:proofErr w:type="gramStart"/>
      <w:r w:rsidRPr="00873B82">
        <w:rPr>
          <w:rFonts w:ascii="Arial" w:hAnsi="Arial" w:cs="Arial"/>
          <w:sz w:val="20"/>
          <w:szCs w:val="20"/>
        </w:rPr>
        <w:t>GST</w:t>
      </w:r>
      <w:r w:rsidR="00BB306C">
        <w:rPr>
          <w:rFonts w:ascii="Arial" w:hAnsi="Arial" w:cs="Arial"/>
          <w:sz w:val="20"/>
          <w:szCs w:val="20"/>
        </w:rPr>
        <w:t>,</w:t>
      </w:r>
      <w:r w:rsidRPr="00873B82">
        <w:rPr>
          <w:rFonts w:ascii="Arial" w:hAnsi="Arial" w:cs="Arial"/>
          <w:sz w:val="20"/>
          <w:szCs w:val="20"/>
        </w:rPr>
        <w:t>(</w:t>
      </w:r>
      <w:proofErr w:type="gramEnd"/>
      <w:r w:rsidRPr="00873B82">
        <w:rPr>
          <w:rFonts w:ascii="Arial" w:hAnsi="Arial" w:cs="Arial"/>
          <w:sz w:val="20"/>
          <w:szCs w:val="20"/>
        </w:rPr>
        <w:t>SGST)/ UTGST</w:t>
      </w:r>
      <w:r w:rsidR="00BB306C">
        <w:rPr>
          <w:rFonts w:ascii="Arial" w:hAnsi="Arial" w:cs="Arial"/>
          <w:sz w:val="20"/>
          <w:szCs w:val="20"/>
        </w:rPr>
        <w:t xml:space="preserve"> is levied on the intra state (within state) supplies </w:t>
      </w:r>
      <w:r w:rsidR="00645354">
        <w:rPr>
          <w:rFonts w:ascii="Arial" w:hAnsi="Arial" w:cs="Arial"/>
          <w:sz w:val="20"/>
          <w:szCs w:val="20"/>
        </w:rPr>
        <w:t>of goods and services</w:t>
      </w:r>
    </w:p>
    <w:p w14:paraId="3CA74723" w14:textId="77777777" w:rsidR="00BB306C" w:rsidRDefault="00BB306C" w:rsidP="00EF6F12">
      <w:pPr>
        <w:pStyle w:val="ListParagraph"/>
        <w:ind w:left="284"/>
        <w:rPr>
          <w:rFonts w:ascii="Arial" w:hAnsi="Arial" w:cs="Arial"/>
          <w:sz w:val="20"/>
          <w:szCs w:val="20"/>
        </w:rPr>
      </w:pPr>
    </w:p>
    <w:p w14:paraId="526E5540" w14:textId="03E96A54" w:rsidR="00EF6F12" w:rsidRPr="00873B82" w:rsidRDefault="00EF6F12" w:rsidP="00EF6F12">
      <w:pPr>
        <w:pStyle w:val="ListParagraph"/>
        <w:ind w:left="284"/>
        <w:rPr>
          <w:rFonts w:ascii="Arial" w:hAnsi="Arial" w:cs="Arial"/>
          <w:sz w:val="20"/>
          <w:szCs w:val="20"/>
        </w:rPr>
      </w:pPr>
      <w:r w:rsidRPr="00873B82">
        <w:rPr>
          <w:rFonts w:ascii="Arial" w:hAnsi="Arial" w:cs="Arial"/>
          <w:sz w:val="20"/>
          <w:szCs w:val="20"/>
        </w:rPr>
        <w:t>Integrated GST (IGST) will be levied and administered by Centre on every inter-</w:t>
      </w:r>
      <w:proofErr w:type="gramStart"/>
      <w:r w:rsidRPr="00873B82">
        <w:rPr>
          <w:rFonts w:ascii="Arial" w:hAnsi="Arial" w:cs="Arial"/>
          <w:sz w:val="20"/>
          <w:szCs w:val="20"/>
        </w:rPr>
        <w:t>sta</w:t>
      </w:r>
      <w:r w:rsidR="00D4337C">
        <w:rPr>
          <w:rFonts w:ascii="Arial" w:hAnsi="Arial" w:cs="Arial"/>
          <w:sz w:val="20"/>
          <w:szCs w:val="20"/>
        </w:rPr>
        <w:t>te</w:t>
      </w:r>
      <w:r w:rsidR="00BB306C">
        <w:rPr>
          <w:rFonts w:ascii="Arial" w:hAnsi="Arial" w:cs="Arial"/>
          <w:sz w:val="20"/>
          <w:szCs w:val="20"/>
        </w:rPr>
        <w:t>(</w:t>
      </w:r>
      <w:proofErr w:type="gramEnd"/>
      <w:r w:rsidR="00BB306C">
        <w:rPr>
          <w:rFonts w:ascii="Arial" w:hAnsi="Arial" w:cs="Arial"/>
          <w:sz w:val="20"/>
          <w:szCs w:val="20"/>
        </w:rPr>
        <w:t>outside state)</w:t>
      </w:r>
      <w:r w:rsidR="00D4337C">
        <w:rPr>
          <w:rFonts w:ascii="Arial" w:hAnsi="Arial" w:cs="Arial"/>
          <w:sz w:val="20"/>
          <w:szCs w:val="20"/>
        </w:rPr>
        <w:t xml:space="preserve"> supply of goods and services.</w:t>
      </w:r>
    </w:p>
    <w:p w14:paraId="6DC961F9" w14:textId="77777777" w:rsidR="00EF6F12" w:rsidRPr="00873B82" w:rsidRDefault="00EF6F12" w:rsidP="00EF6F12">
      <w:pPr>
        <w:pStyle w:val="ListParagraph"/>
        <w:ind w:left="284"/>
        <w:rPr>
          <w:rFonts w:ascii="Arial" w:hAnsi="Arial" w:cs="Arial"/>
          <w:sz w:val="20"/>
          <w:szCs w:val="20"/>
        </w:rPr>
      </w:pPr>
    </w:p>
    <w:p w14:paraId="61C0729C" w14:textId="77777777" w:rsidR="00B907E1" w:rsidRPr="00873B82" w:rsidRDefault="00B907E1" w:rsidP="00426426">
      <w:pPr>
        <w:pStyle w:val="ListParagraph"/>
        <w:numPr>
          <w:ilvl w:val="0"/>
          <w:numId w:val="1"/>
        </w:numPr>
        <w:ind w:left="284"/>
        <w:rPr>
          <w:rFonts w:ascii="Arial" w:hAnsi="Arial" w:cs="Arial"/>
          <w:sz w:val="20"/>
          <w:szCs w:val="20"/>
        </w:rPr>
      </w:pPr>
      <w:r w:rsidRPr="00873B82">
        <w:rPr>
          <w:rFonts w:ascii="Arial" w:hAnsi="Arial" w:cs="Arial"/>
          <w:sz w:val="20"/>
          <w:szCs w:val="20"/>
        </w:rPr>
        <w:t>How will Reliance Nippon Life Insurance Company determine the type of GST to be levied on my insurance policy</w:t>
      </w:r>
    </w:p>
    <w:p w14:paraId="2EF9ACE7" w14:textId="77777777" w:rsidR="00B907E1" w:rsidRPr="00873B82" w:rsidRDefault="00B907E1" w:rsidP="00B907E1">
      <w:pPr>
        <w:pStyle w:val="ListParagraph"/>
        <w:ind w:left="284"/>
        <w:rPr>
          <w:rFonts w:ascii="Arial" w:hAnsi="Arial" w:cs="Arial"/>
          <w:sz w:val="20"/>
          <w:szCs w:val="20"/>
        </w:rPr>
      </w:pPr>
    </w:p>
    <w:p w14:paraId="3B6AF8C7" w14:textId="4B59DAE2" w:rsidR="00B907E1" w:rsidRDefault="00B907E1" w:rsidP="00B907E1">
      <w:pPr>
        <w:pStyle w:val="ListParagraph"/>
        <w:ind w:left="284"/>
        <w:rPr>
          <w:rFonts w:ascii="Arial" w:hAnsi="Arial" w:cs="Arial"/>
          <w:sz w:val="20"/>
          <w:szCs w:val="20"/>
        </w:rPr>
      </w:pPr>
      <w:r w:rsidRPr="00873B82">
        <w:rPr>
          <w:rFonts w:ascii="Arial" w:hAnsi="Arial" w:cs="Arial"/>
          <w:sz w:val="20"/>
          <w:szCs w:val="20"/>
        </w:rPr>
        <w:t xml:space="preserve">The computation of the SGST + CGST or IGST on the premium received will be based on your address on records of Reliance Nippon Life Insurance Company.  </w:t>
      </w:r>
    </w:p>
    <w:p w14:paraId="512EF089" w14:textId="10CE88D8" w:rsidR="00645354" w:rsidRDefault="00645354" w:rsidP="00B907E1">
      <w:pPr>
        <w:pStyle w:val="ListParagraph"/>
        <w:ind w:left="284"/>
        <w:rPr>
          <w:rFonts w:ascii="Arial" w:hAnsi="Arial" w:cs="Arial"/>
          <w:sz w:val="20"/>
          <w:szCs w:val="20"/>
        </w:rPr>
      </w:pPr>
    </w:p>
    <w:p w14:paraId="5E648E79" w14:textId="49C7EDB9" w:rsidR="00645354" w:rsidRDefault="00645354" w:rsidP="00B907E1">
      <w:pPr>
        <w:pStyle w:val="ListParagraph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is advisable to get your address updated time to time.</w:t>
      </w:r>
    </w:p>
    <w:p w14:paraId="2FBBC113" w14:textId="50EAD36A" w:rsidR="00BB306C" w:rsidRDefault="00BB306C" w:rsidP="00B907E1">
      <w:pPr>
        <w:pStyle w:val="ListParagraph"/>
        <w:ind w:left="284"/>
        <w:rPr>
          <w:rFonts w:ascii="Arial" w:hAnsi="Arial" w:cs="Arial"/>
          <w:sz w:val="20"/>
          <w:szCs w:val="20"/>
        </w:rPr>
      </w:pPr>
    </w:p>
    <w:p w14:paraId="76EFE0DE" w14:textId="5A02BB16" w:rsidR="00426426" w:rsidRPr="00873B82" w:rsidRDefault="00426426" w:rsidP="00426426">
      <w:pPr>
        <w:pStyle w:val="ListParagraph"/>
        <w:numPr>
          <w:ilvl w:val="0"/>
          <w:numId w:val="1"/>
        </w:numPr>
        <w:ind w:left="284"/>
        <w:rPr>
          <w:rFonts w:ascii="Arial" w:hAnsi="Arial" w:cs="Arial"/>
          <w:sz w:val="20"/>
          <w:szCs w:val="20"/>
        </w:rPr>
      </w:pPr>
      <w:r w:rsidRPr="00873B82">
        <w:rPr>
          <w:rFonts w:ascii="Arial" w:hAnsi="Arial" w:cs="Arial"/>
          <w:sz w:val="20"/>
          <w:szCs w:val="20"/>
        </w:rPr>
        <w:t xml:space="preserve">What </w:t>
      </w:r>
      <w:r w:rsidR="00542896" w:rsidRPr="00873B82">
        <w:rPr>
          <w:rFonts w:ascii="Arial" w:hAnsi="Arial" w:cs="Arial"/>
          <w:sz w:val="20"/>
          <w:szCs w:val="20"/>
        </w:rPr>
        <w:t>are</w:t>
      </w:r>
      <w:r w:rsidRPr="00873B82">
        <w:rPr>
          <w:rFonts w:ascii="Arial" w:hAnsi="Arial" w:cs="Arial"/>
          <w:sz w:val="20"/>
          <w:szCs w:val="20"/>
        </w:rPr>
        <w:t xml:space="preserve"> the rate</w:t>
      </w:r>
      <w:r w:rsidR="00BB306C">
        <w:rPr>
          <w:rFonts w:ascii="Arial" w:hAnsi="Arial" w:cs="Arial"/>
          <w:sz w:val="20"/>
          <w:szCs w:val="20"/>
        </w:rPr>
        <w:t>s</w:t>
      </w:r>
      <w:r w:rsidRPr="00873B82">
        <w:rPr>
          <w:rFonts w:ascii="Arial" w:hAnsi="Arial" w:cs="Arial"/>
          <w:sz w:val="20"/>
          <w:szCs w:val="20"/>
        </w:rPr>
        <w:t xml:space="preserve"> of tax</w:t>
      </w:r>
      <w:r w:rsidR="00542896" w:rsidRPr="00873B82">
        <w:rPr>
          <w:rFonts w:ascii="Arial" w:hAnsi="Arial" w:cs="Arial"/>
          <w:sz w:val="20"/>
          <w:szCs w:val="20"/>
        </w:rPr>
        <w:t>es</w:t>
      </w:r>
      <w:r w:rsidRPr="00873B82">
        <w:rPr>
          <w:rFonts w:ascii="Arial" w:hAnsi="Arial" w:cs="Arial"/>
          <w:sz w:val="20"/>
          <w:szCs w:val="20"/>
        </w:rPr>
        <w:t xml:space="preserve"> applicable </w:t>
      </w:r>
      <w:r w:rsidR="00542896" w:rsidRPr="00873B82">
        <w:rPr>
          <w:rFonts w:ascii="Arial" w:hAnsi="Arial" w:cs="Arial"/>
          <w:sz w:val="20"/>
          <w:szCs w:val="20"/>
        </w:rPr>
        <w:t xml:space="preserve">under GST </w:t>
      </w:r>
      <w:r w:rsidRPr="00873B82">
        <w:rPr>
          <w:rFonts w:ascii="Arial" w:hAnsi="Arial" w:cs="Arial"/>
          <w:sz w:val="20"/>
          <w:szCs w:val="20"/>
        </w:rPr>
        <w:t>on various kind of insurance products?</w:t>
      </w:r>
    </w:p>
    <w:p w14:paraId="6B928BF9" w14:textId="77777777" w:rsidR="00426426" w:rsidRPr="00873B82" w:rsidRDefault="00426426" w:rsidP="00542896">
      <w:pPr>
        <w:pStyle w:val="ListParagraph"/>
        <w:spacing w:line="240" w:lineRule="auto"/>
        <w:ind w:left="284"/>
        <w:rPr>
          <w:rFonts w:ascii="Arial" w:hAnsi="Arial" w:cs="Arial"/>
          <w:sz w:val="20"/>
          <w:szCs w:val="20"/>
        </w:rPr>
      </w:pPr>
    </w:p>
    <w:p w14:paraId="7010BBE0" w14:textId="0CB02A8D" w:rsidR="00542896" w:rsidRPr="00873B82" w:rsidRDefault="00BB306C" w:rsidP="00542896">
      <w:pPr>
        <w:pStyle w:val="ListParagraph"/>
        <w:spacing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542896" w:rsidRPr="00873B82">
        <w:rPr>
          <w:rFonts w:ascii="Arial" w:hAnsi="Arial" w:cs="Arial"/>
          <w:sz w:val="20"/>
          <w:szCs w:val="20"/>
        </w:rPr>
        <w:t xml:space="preserve">ax applicable on various products under GST and Service tax </w:t>
      </w:r>
    </w:p>
    <w:tbl>
      <w:tblPr>
        <w:tblStyle w:val="TableGrid"/>
        <w:tblW w:w="6480" w:type="dxa"/>
        <w:tblInd w:w="378" w:type="dxa"/>
        <w:tblLook w:val="04A0" w:firstRow="1" w:lastRow="0" w:firstColumn="1" w:lastColumn="0" w:noHBand="0" w:noVBand="1"/>
      </w:tblPr>
      <w:tblGrid>
        <w:gridCol w:w="4161"/>
        <w:gridCol w:w="2319"/>
      </w:tblGrid>
      <w:tr w:rsidR="00BB306C" w:rsidRPr="00873B82" w14:paraId="63C278BB" w14:textId="77777777" w:rsidTr="008846A5">
        <w:tc>
          <w:tcPr>
            <w:tcW w:w="4161" w:type="dxa"/>
            <w:shd w:val="clear" w:color="auto" w:fill="ACB9CA" w:themeFill="text2" w:themeFillTint="66"/>
          </w:tcPr>
          <w:p w14:paraId="4D047A48" w14:textId="77777777" w:rsidR="00BB306C" w:rsidRPr="00873B82" w:rsidRDefault="00BB306C" w:rsidP="00542896">
            <w:pPr>
              <w:pStyle w:val="Default"/>
              <w:rPr>
                <w:sz w:val="20"/>
                <w:szCs w:val="20"/>
              </w:rPr>
            </w:pPr>
            <w:r w:rsidRPr="00873B82">
              <w:rPr>
                <w:b/>
                <w:sz w:val="20"/>
                <w:szCs w:val="20"/>
              </w:rPr>
              <w:t>Product Category</w:t>
            </w:r>
          </w:p>
        </w:tc>
        <w:tc>
          <w:tcPr>
            <w:tcW w:w="2319" w:type="dxa"/>
            <w:shd w:val="clear" w:color="auto" w:fill="ACB9CA" w:themeFill="text2" w:themeFillTint="66"/>
          </w:tcPr>
          <w:p w14:paraId="3FD40A60" w14:textId="614B719B" w:rsidR="00BB306C" w:rsidRPr="00873B82" w:rsidRDefault="008846A5" w:rsidP="0054289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Effective </w:t>
            </w:r>
            <w:r w:rsidR="00BB306C" w:rsidRPr="00873B82">
              <w:rPr>
                <w:b/>
                <w:sz w:val="20"/>
                <w:szCs w:val="20"/>
              </w:rPr>
              <w:t>GST Rate</w:t>
            </w:r>
          </w:p>
        </w:tc>
      </w:tr>
      <w:tr w:rsidR="00BB306C" w:rsidRPr="00873B82" w14:paraId="3345AAAD" w14:textId="77777777" w:rsidTr="008846A5">
        <w:tc>
          <w:tcPr>
            <w:tcW w:w="4161" w:type="dxa"/>
          </w:tcPr>
          <w:p w14:paraId="369E9140" w14:textId="77777777" w:rsidR="00BB306C" w:rsidRPr="00873B82" w:rsidRDefault="00BB306C" w:rsidP="007C6D4E">
            <w:pPr>
              <w:pStyle w:val="Default"/>
              <w:rPr>
                <w:sz w:val="20"/>
                <w:szCs w:val="20"/>
              </w:rPr>
            </w:pPr>
            <w:r w:rsidRPr="00873B82">
              <w:rPr>
                <w:sz w:val="20"/>
                <w:szCs w:val="20"/>
              </w:rPr>
              <w:t>Term Product</w:t>
            </w:r>
          </w:p>
        </w:tc>
        <w:tc>
          <w:tcPr>
            <w:tcW w:w="2319" w:type="dxa"/>
          </w:tcPr>
          <w:p w14:paraId="7C370CA1" w14:textId="77777777" w:rsidR="00BB306C" w:rsidRPr="00873B82" w:rsidRDefault="00BB306C" w:rsidP="007C6D4E">
            <w:pPr>
              <w:pStyle w:val="Default"/>
              <w:jc w:val="center"/>
              <w:rPr>
                <w:sz w:val="20"/>
                <w:szCs w:val="20"/>
              </w:rPr>
            </w:pPr>
            <w:r w:rsidRPr="00873B82">
              <w:rPr>
                <w:sz w:val="20"/>
                <w:szCs w:val="20"/>
              </w:rPr>
              <w:t>18%</w:t>
            </w:r>
          </w:p>
        </w:tc>
      </w:tr>
      <w:tr w:rsidR="00BB306C" w:rsidRPr="00873B82" w14:paraId="1B9EB227" w14:textId="77777777" w:rsidTr="008846A5">
        <w:tc>
          <w:tcPr>
            <w:tcW w:w="4161" w:type="dxa"/>
          </w:tcPr>
          <w:p w14:paraId="12B18565" w14:textId="77777777" w:rsidR="00BB306C" w:rsidRPr="00873B82" w:rsidRDefault="00BB306C" w:rsidP="007C6D4E">
            <w:pPr>
              <w:pStyle w:val="Default"/>
              <w:rPr>
                <w:sz w:val="20"/>
                <w:szCs w:val="20"/>
              </w:rPr>
            </w:pPr>
            <w:r w:rsidRPr="00873B82">
              <w:rPr>
                <w:sz w:val="20"/>
                <w:szCs w:val="20"/>
              </w:rPr>
              <w:t>Health Product</w:t>
            </w:r>
          </w:p>
        </w:tc>
        <w:tc>
          <w:tcPr>
            <w:tcW w:w="2319" w:type="dxa"/>
          </w:tcPr>
          <w:p w14:paraId="3F571F4D" w14:textId="77777777" w:rsidR="00BB306C" w:rsidRPr="00873B82" w:rsidRDefault="00BB306C" w:rsidP="007C6D4E">
            <w:pPr>
              <w:pStyle w:val="Default"/>
              <w:jc w:val="center"/>
              <w:rPr>
                <w:sz w:val="20"/>
                <w:szCs w:val="20"/>
              </w:rPr>
            </w:pPr>
            <w:r w:rsidRPr="00873B82">
              <w:rPr>
                <w:sz w:val="20"/>
                <w:szCs w:val="20"/>
              </w:rPr>
              <w:t>18%</w:t>
            </w:r>
          </w:p>
        </w:tc>
      </w:tr>
      <w:tr w:rsidR="00BB306C" w:rsidRPr="00873B82" w14:paraId="21BF6DB3" w14:textId="77777777" w:rsidTr="008846A5">
        <w:tc>
          <w:tcPr>
            <w:tcW w:w="4161" w:type="dxa"/>
          </w:tcPr>
          <w:p w14:paraId="3225400F" w14:textId="049C8873" w:rsidR="00BB306C" w:rsidRPr="00873B82" w:rsidRDefault="00BB306C" w:rsidP="007C6D4E">
            <w:pPr>
              <w:pStyle w:val="Default"/>
              <w:rPr>
                <w:sz w:val="20"/>
                <w:szCs w:val="20"/>
              </w:rPr>
            </w:pPr>
            <w:r w:rsidRPr="00873B82">
              <w:rPr>
                <w:sz w:val="20"/>
                <w:szCs w:val="20"/>
              </w:rPr>
              <w:t>ULIP charges</w:t>
            </w:r>
          </w:p>
        </w:tc>
        <w:tc>
          <w:tcPr>
            <w:tcW w:w="2319" w:type="dxa"/>
          </w:tcPr>
          <w:p w14:paraId="5A175AA3" w14:textId="77777777" w:rsidR="00BB306C" w:rsidRPr="00873B82" w:rsidRDefault="00BB306C" w:rsidP="007C6D4E">
            <w:pPr>
              <w:pStyle w:val="Default"/>
              <w:jc w:val="center"/>
              <w:rPr>
                <w:sz w:val="20"/>
                <w:szCs w:val="20"/>
              </w:rPr>
            </w:pPr>
            <w:r w:rsidRPr="00873B82">
              <w:rPr>
                <w:sz w:val="20"/>
                <w:szCs w:val="20"/>
              </w:rPr>
              <w:t>18%</w:t>
            </w:r>
          </w:p>
        </w:tc>
      </w:tr>
      <w:tr w:rsidR="00BB306C" w:rsidRPr="00873B82" w14:paraId="01556446" w14:textId="77777777" w:rsidTr="008846A5">
        <w:tc>
          <w:tcPr>
            <w:tcW w:w="4161" w:type="dxa"/>
          </w:tcPr>
          <w:p w14:paraId="47E01EC1" w14:textId="77777777" w:rsidR="00BB306C" w:rsidRPr="00873B82" w:rsidRDefault="00BB306C" w:rsidP="007C6D4E">
            <w:pPr>
              <w:pStyle w:val="Default"/>
              <w:rPr>
                <w:sz w:val="20"/>
                <w:szCs w:val="20"/>
              </w:rPr>
            </w:pPr>
            <w:r w:rsidRPr="00873B82">
              <w:rPr>
                <w:sz w:val="20"/>
                <w:szCs w:val="20"/>
              </w:rPr>
              <w:t>Single Annuity Product</w:t>
            </w:r>
          </w:p>
        </w:tc>
        <w:tc>
          <w:tcPr>
            <w:tcW w:w="2319" w:type="dxa"/>
          </w:tcPr>
          <w:p w14:paraId="7C08AAD3" w14:textId="77777777" w:rsidR="00BB306C" w:rsidRPr="00873B82" w:rsidRDefault="00BB306C" w:rsidP="007C6D4E">
            <w:pPr>
              <w:pStyle w:val="Default"/>
              <w:jc w:val="center"/>
              <w:rPr>
                <w:sz w:val="20"/>
                <w:szCs w:val="20"/>
              </w:rPr>
            </w:pPr>
            <w:r w:rsidRPr="00873B82">
              <w:rPr>
                <w:sz w:val="20"/>
                <w:szCs w:val="20"/>
              </w:rPr>
              <w:t>1.8%</w:t>
            </w:r>
          </w:p>
        </w:tc>
      </w:tr>
      <w:tr w:rsidR="00BB306C" w:rsidRPr="00873B82" w14:paraId="52879E3E" w14:textId="77777777" w:rsidTr="008846A5">
        <w:tc>
          <w:tcPr>
            <w:tcW w:w="4161" w:type="dxa"/>
          </w:tcPr>
          <w:p w14:paraId="43F48821" w14:textId="03203A78" w:rsidR="00BB306C" w:rsidRPr="00873B82" w:rsidRDefault="00BB306C" w:rsidP="007C6D4E">
            <w:pPr>
              <w:pStyle w:val="Default"/>
              <w:rPr>
                <w:sz w:val="20"/>
                <w:szCs w:val="20"/>
              </w:rPr>
            </w:pPr>
            <w:r w:rsidRPr="00873B82">
              <w:rPr>
                <w:sz w:val="20"/>
                <w:szCs w:val="20"/>
              </w:rPr>
              <w:t>Endowment Products</w:t>
            </w:r>
            <w:r>
              <w:rPr>
                <w:sz w:val="20"/>
                <w:szCs w:val="20"/>
              </w:rPr>
              <w:t xml:space="preserve"> </w:t>
            </w:r>
            <w:r w:rsidRPr="00873B82">
              <w:rPr>
                <w:sz w:val="20"/>
                <w:szCs w:val="20"/>
              </w:rPr>
              <w:t xml:space="preserve">- First Year </w:t>
            </w:r>
          </w:p>
        </w:tc>
        <w:tc>
          <w:tcPr>
            <w:tcW w:w="2319" w:type="dxa"/>
          </w:tcPr>
          <w:p w14:paraId="17172465" w14:textId="77777777" w:rsidR="00BB306C" w:rsidRPr="00873B82" w:rsidRDefault="00BB306C" w:rsidP="007C6D4E">
            <w:pPr>
              <w:pStyle w:val="Default"/>
              <w:jc w:val="center"/>
              <w:rPr>
                <w:sz w:val="20"/>
                <w:szCs w:val="20"/>
              </w:rPr>
            </w:pPr>
            <w:r w:rsidRPr="00873B82">
              <w:rPr>
                <w:sz w:val="20"/>
                <w:szCs w:val="20"/>
              </w:rPr>
              <w:t>4.5%</w:t>
            </w:r>
          </w:p>
        </w:tc>
      </w:tr>
      <w:tr w:rsidR="00BB306C" w:rsidRPr="00873B82" w14:paraId="79AEABA2" w14:textId="77777777" w:rsidTr="008846A5">
        <w:tc>
          <w:tcPr>
            <w:tcW w:w="4161" w:type="dxa"/>
          </w:tcPr>
          <w:p w14:paraId="37CE8BC9" w14:textId="09AD5170" w:rsidR="00BB306C" w:rsidRPr="00873B82" w:rsidRDefault="00BB306C" w:rsidP="00205433">
            <w:pPr>
              <w:pStyle w:val="Default"/>
              <w:rPr>
                <w:sz w:val="20"/>
                <w:szCs w:val="20"/>
              </w:rPr>
            </w:pPr>
            <w:r w:rsidRPr="00873B82">
              <w:rPr>
                <w:sz w:val="20"/>
                <w:szCs w:val="20"/>
              </w:rPr>
              <w:t>Endowment Products</w:t>
            </w:r>
            <w:r>
              <w:rPr>
                <w:sz w:val="20"/>
                <w:szCs w:val="20"/>
              </w:rPr>
              <w:t xml:space="preserve"> </w:t>
            </w:r>
            <w:r w:rsidRPr="00873B82">
              <w:rPr>
                <w:sz w:val="20"/>
                <w:szCs w:val="20"/>
              </w:rPr>
              <w:t>- Second year onwards</w:t>
            </w:r>
          </w:p>
        </w:tc>
        <w:tc>
          <w:tcPr>
            <w:tcW w:w="2319" w:type="dxa"/>
          </w:tcPr>
          <w:p w14:paraId="09D58101" w14:textId="77777777" w:rsidR="00BB306C" w:rsidRPr="00873B82" w:rsidRDefault="00BB306C" w:rsidP="00205433">
            <w:pPr>
              <w:pStyle w:val="Default"/>
              <w:jc w:val="center"/>
              <w:rPr>
                <w:sz w:val="20"/>
                <w:szCs w:val="20"/>
              </w:rPr>
            </w:pPr>
            <w:r w:rsidRPr="00873B82">
              <w:rPr>
                <w:sz w:val="20"/>
                <w:szCs w:val="20"/>
              </w:rPr>
              <w:t>2.25%</w:t>
            </w:r>
          </w:p>
        </w:tc>
      </w:tr>
      <w:tr w:rsidR="00BB306C" w:rsidRPr="00873B82" w14:paraId="36BC480F" w14:textId="77777777" w:rsidTr="008846A5">
        <w:tc>
          <w:tcPr>
            <w:tcW w:w="4161" w:type="dxa"/>
          </w:tcPr>
          <w:p w14:paraId="3CFB507A" w14:textId="77777777" w:rsidR="00BB306C" w:rsidRPr="00873B82" w:rsidRDefault="00BB306C" w:rsidP="007C6D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Interest on reinstatement of policy</w:t>
            </w:r>
          </w:p>
        </w:tc>
        <w:tc>
          <w:tcPr>
            <w:tcW w:w="2319" w:type="dxa"/>
          </w:tcPr>
          <w:p w14:paraId="104B1E15" w14:textId="77777777" w:rsidR="00BB306C" w:rsidRPr="00873B82" w:rsidRDefault="00BB306C" w:rsidP="007C6D4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</w:t>
            </w:r>
          </w:p>
        </w:tc>
      </w:tr>
      <w:tr w:rsidR="00BB306C" w:rsidRPr="00873B82" w14:paraId="3A313365" w14:textId="77777777" w:rsidTr="008846A5">
        <w:tc>
          <w:tcPr>
            <w:tcW w:w="4161" w:type="dxa"/>
          </w:tcPr>
          <w:p w14:paraId="4F08BECE" w14:textId="1CB731A7" w:rsidR="00BB306C" w:rsidRDefault="00BB306C" w:rsidP="007C6D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  <w:r w:rsidR="008846A5">
              <w:rPr>
                <w:sz w:val="20"/>
                <w:szCs w:val="20"/>
              </w:rPr>
              <w:t xml:space="preserve"> Premium/charges</w:t>
            </w:r>
          </w:p>
        </w:tc>
        <w:tc>
          <w:tcPr>
            <w:tcW w:w="2319" w:type="dxa"/>
          </w:tcPr>
          <w:p w14:paraId="1D8CB610" w14:textId="49804C7A" w:rsidR="00BB306C" w:rsidRDefault="00BB306C" w:rsidP="007C6D4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</w:t>
            </w:r>
          </w:p>
        </w:tc>
      </w:tr>
    </w:tbl>
    <w:p w14:paraId="70254A47" w14:textId="77777777" w:rsidR="00426426" w:rsidRPr="00873B82" w:rsidRDefault="00426426" w:rsidP="00426426">
      <w:pPr>
        <w:pStyle w:val="ListParagraph"/>
        <w:ind w:left="284"/>
        <w:rPr>
          <w:rFonts w:ascii="Arial" w:hAnsi="Arial" w:cs="Arial"/>
          <w:sz w:val="20"/>
          <w:szCs w:val="20"/>
        </w:rPr>
      </w:pPr>
    </w:p>
    <w:p w14:paraId="62352A2C" w14:textId="77777777" w:rsidR="00D4337C" w:rsidRPr="00873B82" w:rsidRDefault="00D4337C" w:rsidP="00542896">
      <w:pPr>
        <w:pStyle w:val="ListParagraph"/>
        <w:ind w:left="284"/>
        <w:rPr>
          <w:rFonts w:ascii="Arial" w:hAnsi="Arial" w:cs="Arial"/>
          <w:sz w:val="20"/>
          <w:szCs w:val="20"/>
        </w:rPr>
      </w:pPr>
    </w:p>
    <w:p w14:paraId="2C9FBBC4" w14:textId="77777777" w:rsidR="00542896" w:rsidRPr="00873B82" w:rsidRDefault="00542896" w:rsidP="00542896">
      <w:pPr>
        <w:pStyle w:val="ListParagraph"/>
        <w:numPr>
          <w:ilvl w:val="0"/>
          <w:numId w:val="1"/>
        </w:numPr>
        <w:ind w:left="284"/>
        <w:rPr>
          <w:rFonts w:ascii="Arial" w:hAnsi="Arial" w:cs="Arial"/>
          <w:sz w:val="20"/>
          <w:szCs w:val="20"/>
        </w:rPr>
      </w:pPr>
      <w:r w:rsidRPr="00873B82">
        <w:rPr>
          <w:rFonts w:ascii="Arial" w:hAnsi="Arial" w:cs="Arial"/>
          <w:sz w:val="20"/>
          <w:szCs w:val="20"/>
        </w:rPr>
        <w:t>When I surrender</w:t>
      </w:r>
      <w:r w:rsidR="00D44E17">
        <w:rPr>
          <w:rFonts w:ascii="Arial" w:hAnsi="Arial" w:cs="Arial"/>
          <w:sz w:val="20"/>
          <w:szCs w:val="20"/>
        </w:rPr>
        <w:t>/withdraw/ cancel</w:t>
      </w:r>
      <w:r w:rsidRPr="00873B82">
        <w:rPr>
          <w:rFonts w:ascii="Arial" w:hAnsi="Arial" w:cs="Arial"/>
          <w:sz w:val="20"/>
          <w:szCs w:val="20"/>
        </w:rPr>
        <w:t xml:space="preserve"> my policy, is my value </w:t>
      </w:r>
      <w:r w:rsidR="00EF6F12" w:rsidRPr="00873B82">
        <w:rPr>
          <w:rFonts w:ascii="Arial" w:hAnsi="Arial" w:cs="Arial"/>
          <w:sz w:val="20"/>
          <w:szCs w:val="20"/>
        </w:rPr>
        <w:t>pay-out</w:t>
      </w:r>
      <w:r w:rsidRPr="00873B82">
        <w:rPr>
          <w:rFonts w:ascii="Arial" w:hAnsi="Arial" w:cs="Arial"/>
          <w:sz w:val="20"/>
          <w:szCs w:val="20"/>
        </w:rPr>
        <w:t xml:space="preserve"> subject to GST?</w:t>
      </w:r>
    </w:p>
    <w:p w14:paraId="06F3299F" w14:textId="77777777" w:rsidR="00542896" w:rsidRPr="00873B82" w:rsidRDefault="00542896" w:rsidP="00542896">
      <w:pPr>
        <w:pStyle w:val="ListParagraph"/>
        <w:ind w:left="284"/>
        <w:rPr>
          <w:rFonts w:ascii="Arial" w:hAnsi="Arial" w:cs="Arial"/>
          <w:sz w:val="20"/>
          <w:szCs w:val="20"/>
        </w:rPr>
      </w:pPr>
    </w:p>
    <w:p w14:paraId="39905CF4" w14:textId="4C310331" w:rsidR="00542896" w:rsidRDefault="00542896" w:rsidP="00542896">
      <w:pPr>
        <w:pStyle w:val="ListParagraph"/>
        <w:ind w:left="284"/>
        <w:rPr>
          <w:rFonts w:ascii="Arial" w:hAnsi="Arial" w:cs="Arial"/>
          <w:sz w:val="20"/>
          <w:szCs w:val="20"/>
        </w:rPr>
      </w:pPr>
      <w:r w:rsidRPr="00873B82">
        <w:rPr>
          <w:rFonts w:ascii="Arial" w:hAnsi="Arial" w:cs="Arial"/>
          <w:sz w:val="20"/>
          <w:szCs w:val="20"/>
        </w:rPr>
        <w:t xml:space="preserve">Your value </w:t>
      </w:r>
      <w:r w:rsidR="00EF6F12" w:rsidRPr="00873B82">
        <w:rPr>
          <w:rFonts w:ascii="Arial" w:hAnsi="Arial" w:cs="Arial"/>
          <w:sz w:val="20"/>
          <w:szCs w:val="20"/>
        </w:rPr>
        <w:t>pay-out</w:t>
      </w:r>
      <w:r w:rsidRPr="00873B82">
        <w:rPr>
          <w:rFonts w:ascii="Arial" w:hAnsi="Arial" w:cs="Arial"/>
          <w:sz w:val="20"/>
          <w:szCs w:val="20"/>
        </w:rPr>
        <w:t xml:space="preserve"> is not subject to GST.  However, any </w:t>
      </w:r>
      <w:r w:rsidR="00D4337C">
        <w:rPr>
          <w:rFonts w:ascii="Arial" w:hAnsi="Arial" w:cs="Arial"/>
          <w:sz w:val="20"/>
          <w:szCs w:val="20"/>
        </w:rPr>
        <w:t xml:space="preserve">fee on </w:t>
      </w:r>
      <w:r w:rsidRPr="00873B82">
        <w:rPr>
          <w:rFonts w:ascii="Arial" w:hAnsi="Arial" w:cs="Arial"/>
          <w:sz w:val="20"/>
          <w:szCs w:val="20"/>
        </w:rPr>
        <w:t>surrender</w:t>
      </w:r>
      <w:r w:rsidR="00D4337C">
        <w:rPr>
          <w:rFonts w:ascii="Arial" w:hAnsi="Arial" w:cs="Arial"/>
          <w:sz w:val="20"/>
          <w:szCs w:val="20"/>
        </w:rPr>
        <w:t xml:space="preserve">/withdrawal/ cancellation </w:t>
      </w:r>
      <w:r w:rsidRPr="00873B82">
        <w:rPr>
          <w:rFonts w:ascii="Arial" w:hAnsi="Arial" w:cs="Arial"/>
          <w:sz w:val="20"/>
          <w:szCs w:val="20"/>
        </w:rPr>
        <w:t>charged will be subject to GST at a standard rate</w:t>
      </w:r>
      <w:r w:rsidR="00BB306C">
        <w:rPr>
          <w:rFonts w:ascii="Arial" w:hAnsi="Arial" w:cs="Arial"/>
          <w:sz w:val="20"/>
          <w:szCs w:val="20"/>
        </w:rPr>
        <w:t>, currently 18%</w:t>
      </w:r>
    </w:p>
    <w:p w14:paraId="0F54499E" w14:textId="77777777" w:rsidR="00BB306C" w:rsidRPr="00873B82" w:rsidRDefault="00BB306C" w:rsidP="00542896">
      <w:pPr>
        <w:pStyle w:val="ListParagraph"/>
        <w:ind w:left="284"/>
        <w:rPr>
          <w:rFonts w:ascii="Arial" w:hAnsi="Arial" w:cs="Arial"/>
          <w:sz w:val="20"/>
          <w:szCs w:val="20"/>
        </w:rPr>
      </w:pPr>
    </w:p>
    <w:p w14:paraId="3C061781" w14:textId="77777777" w:rsidR="00542896" w:rsidRPr="00873B82" w:rsidRDefault="00EF6F12" w:rsidP="00542896">
      <w:pPr>
        <w:pStyle w:val="ListParagraph"/>
        <w:numPr>
          <w:ilvl w:val="0"/>
          <w:numId w:val="1"/>
        </w:numPr>
        <w:ind w:left="284"/>
        <w:rPr>
          <w:rFonts w:ascii="Arial" w:hAnsi="Arial" w:cs="Arial"/>
          <w:sz w:val="20"/>
          <w:szCs w:val="20"/>
        </w:rPr>
      </w:pPr>
      <w:r w:rsidRPr="00873B82">
        <w:rPr>
          <w:rFonts w:ascii="Arial" w:hAnsi="Arial" w:cs="Arial"/>
          <w:sz w:val="20"/>
          <w:szCs w:val="20"/>
        </w:rPr>
        <w:t>In case of a</w:t>
      </w:r>
      <w:r w:rsidR="00542896" w:rsidRPr="00873B82">
        <w:rPr>
          <w:rFonts w:ascii="Arial" w:hAnsi="Arial" w:cs="Arial"/>
          <w:sz w:val="20"/>
          <w:szCs w:val="20"/>
        </w:rPr>
        <w:t xml:space="preserve"> claim settlement, will the claim I receive from insurance company be subject to GST?</w:t>
      </w:r>
    </w:p>
    <w:p w14:paraId="50C07818" w14:textId="77777777" w:rsidR="00542896" w:rsidRPr="00873B82" w:rsidRDefault="00542896" w:rsidP="00542896">
      <w:pPr>
        <w:pStyle w:val="ListParagraph"/>
        <w:ind w:left="284"/>
        <w:rPr>
          <w:rFonts w:ascii="Arial" w:hAnsi="Arial" w:cs="Arial"/>
          <w:sz w:val="20"/>
          <w:szCs w:val="20"/>
        </w:rPr>
      </w:pPr>
    </w:p>
    <w:p w14:paraId="02CC0E75" w14:textId="77777777" w:rsidR="00542896" w:rsidRDefault="00542896" w:rsidP="00542896">
      <w:pPr>
        <w:pStyle w:val="ListParagraph"/>
        <w:ind w:left="284"/>
        <w:rPr>
          <w:rFonts w:ascii="Arial" w:hAnsi="Arial" w:cs="Arial"/>
          <w:sz w:val="20"/>
          <w:szCs w:val="20"/>
        </w:rPr>
      </w:pPr>
      <w:r w:rsidRPr="00873B82">
        <w:rPr>
          <w:rFonts w:ascii="Arial" w:hAnsi="Arial" w:cs="Arial"/>
          <w:sz w:val="20"/>
          <w:szCs w:val="20"/>
        </w:rPr>
        <w:t xml:space="preserve">The claim </w:t>
      </w:r>
      <w:r w:rsidR="00EF6F12" w:rsidRPr="00873B82">
        <w:rPr>
          <w:rFonts w:ascii="Arial" w:hAnsi="Arial" w:cs="Arial"/>
          <w:sz w:val="20"/>
          <w:szCs w:val="20"/>
        </w:rPr>
        <w:t>pay-out</w:t>
      </w:r>
      <w:r w:rsidRPr="00873B82">
        <w:rPr>
          <w:rFonts w:ascii="Arial" w:hAnsi="Arial" w:cs="Arial"/>
          <w:sz w:val="20"/>
          <w:szCs w:val="20"/>
        </w:rPr>
        <w:t xml:space="preserve"> made by insurance company will not be subject to GST</w:t>
      </w:r>
      <w:r w:rsidR="00D4337C">
        <w:rPr>
          <w:rFonts w:ascii="Arial" w:hAnsi="Arial" w:cs="Arial"/>
          <w:sz w:val="20"/>
          <w:szCs w:val="20"/>
        </w:rPr>
        <w:t>.</w:t>
      </w:r>
    </w:p>
    <w:p w14:paraId="69535AE5" w14:textId="77777777" w:rsidR="00D4337C" w:rsidRPr="00873B82" w:rsidRDefault="00D4337C" w:rsidP="00542896">
      <w:pPr>
        <w:pStyle w:val="ListParagraph"/>
        <w:ind w:left="284"/>
        <w:rPr>
          <w:rFonts w:ascii="Arial" w:hAnsi="Arial" w:cs="Arial"/>
          <w:sz w:val="20"/>
          <w:szCs w:val="20"/>
        </w:rPr>
      </w:pPr>
    </w:p>
    <w:p w14:paraId="3B6B52F6" w14:textId="77777777" w:rsidR="00426426" w:rsidRPr="00873B82" w:rsidRDefault="00426426" w:rsidP="00426426">
      <w:pPr>
        <w:rPr>
          <w:rFonts w:ascii="Arial" w:hAnsi="Arial" w:cs="Arial"/>
          <w:sz w:val="20"/>
          <w:szCs w:val="20"/>
        </w:rPr>
      </w:pPr>
    </w:p>
    <w:p w14:paraId="1F5A767E" w14:textId="77777777" w:rsidR="000A6F3F" w:rsidRPr="00873B82" w:rsidRDefault="000A6F3F">
      <w:pPr>
        <w:rPr>
          <w:rFonts w:ascii="Arial" w:hAnsi="Arial" w:cs="Arial"/>
          <w:sz w:val="20"/>
          <w:szCs w:val="20"/>
        </w:rPr>
      </w:pPr>
    </w:p>
    <w:sectPr w:rsidR="000A6F3F" w:rsidRPr="00873B82" w:rsidSect="00DB48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67DD"/>
    <w:multiLevelType w:val="hybridMultilevel"/>
    <w:tmpl w:val="0B203E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68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F3F"/>
    <w:rsid w:val="000A6F3F"/>
    <w:rsid w:val="00110315"/>
    <w:rsid w:val="00426426"/>
    <w:rsid w:val="00542896"/>
    <w:rsid w:val="00601C11"/>
    <w:rsid w:val="00645354"/>
    <w:rsid w:val="00754898"/>
    <w:rsid w:val="00873B82"/>
    <w:rsid w:val="008846A5"/>
    <w:rsid w:val="00967597"/>
    <w:rsid w:val="009B0724"/>
    <w:rsid w:val="00B907E1"/>
    <w:rsid w:val="00BB306C"/>
    <w:rsid w:val="00D4337C"/>
    <w:rsid w:val="00D44E17"/>
    <w:rsid w:val="00DB48A0"/>
    <w:rsid w:val="00EF6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DFA20"/>
  <w15:docId w15:val="{6D456A0A-DD4E-46AB-8273-F33BBA41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F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26426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4289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542896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Ronak2 Shah</dc:creator>
  <cp:lastModifiedBy>Snehal Dharmesh  Nagda/RLI/Finance</cp:lastModifiedBy>
  <cp:revision>5</cp:revision>
  <dcterms:created xsi:type="dcterms:W3CDTF">2017-06-27T09:50:00Z</dcterms:created>
  <dcterms:modified xsi:type="dcterms:W3CDTF">2023-01-11T09:03:00Z</dcterms:modified>
</cp:coreProperties>
</file>